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E4" w:rsidRDefault="00791F05">
      <w:r>
        <w:t xml:space="preserve">Sposób interpretacji lokalnych kryteriów wyboru dla działań „Różnicowanie w kierunku działalności nierolniczej” oraz „Tworzenie i rozwój </w:t>
      </w:r>
      <w:proofErr w:type="spellStart"/>
      <w:r>
        <w:t>mikroprzedsiębiorstw</w:t>
      </w:r>
      <w:proofErr w:type="spellEnd"/>
      <w:r>
        <w:t>”</w:t>
      </w:r>
    </w:p>
    <w:p w:rsidR="00791F05" w:rsidRDefault="00791F05">
      <w:r>
        <w:t>Wszystkie działania PROW na lata 2007 – 2013</w:t>
      </w: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526"/>
        <w:gridCol w:w="9072"/>
      </w:tblGrid>
      <w:tr w:rsidR="00791F05" w:rsidRPr="00CC4833" w:rsidTr="00F221B8">
        <w:trPr>
          <w:cantSplit/>
        </w:trPr>
        <w:tc>
          <w:tcPr>
            <w:tcW w:w="1526" w:type="dxa"/>
            <w:tcBorders>
              <w:top w:val="single" w:sz="24" w:space="0" w:color="0000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F05" w:rsidRPr="00791F05" w:rsidRDefault="00791F05" w:rsidP="00791F05">
            <w:pPr>
              <w:pStyle w:val="xl34"/>
              <w:rPr>
                <w:rFonts w:ascii="Times New Roman" w:eastAsia="Times New Roman" w:hAnsi="Times New Roman" w:cs="Times New Roman"/>
                <w:bCs w:val="0"/>
                <w:szCs w:val="20"/>
              </w:rPr>
            </w:pPr>
            <w:r w:rsidRPr="00791F05">
              <w:rPr>
                <w:rFonts w:ascii="Times New Roman" w:eastAsia="Times New Roman" w:hAnsi="Times New Roman" w:cs="Times New Roman"/>
                <w:bCs w:val="0"/>
                <w:szCs w:val="20"/>
              </w:rPr>
              <w:t>Kryterium</w:t>
            </w:r>
          </w:p>
        </w:tc>
        <w:tc>
          <w:tcPr>
            <w:tcW w:w="9072" w:type="dxa"/>
            <w:tcBorders>
              <w:top w:val="single" w:sz="24" w:space="0" w:color="0000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F05" w:rsidRPr="00791F05" w:rsidRDefault="00791F05" w:rsidP="00791F05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91F05">
              <w:rPr>
                <w:sz w:val="18"/>
                <w:szCs w:val="20"/>
              </w:rPr>
              <w:t>Interpretacja i sposób oceny</w:t>
            </w:r>
          </w:p>
        </w:tc>
      </w:tr>
      <w:tr w:rsidR="00791F05" w:rsidRPr="00CC4833" w:rsidTr="00F221B8">
        <w:trPr>
          <w:cantSplit/>
        </w:trPr>
        <w:tc>
          <w:tcPr>
            <w:tcW w:w="1526" w:type="dxa"/>
            <w:tcBorders>
              <w:top w:val="single" w:sz="24" w:space="0" w:color="0000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F05" w:rsidRPr="00CC4833" w:rsidRDefault="00791F05" w:rsidP="0021407B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Cs w:val="20"/>
              </w:rPr>
            </w:pPr>
            <w:r w:rsidRPr="00CC4833">
              <w:rPr>
                <w:rFonts w:ascii="Times New Roman" w:eastAsia="Times New Roman" w:hAnsi="Times New Roman" w:cs="Times New Roman"/>
                <w:bCs w:val="0"/>
                <w:szCs w:val="20"/>
              </w:rPr>
              <w:t>Członkostwo wnioskodawcy lub jego przedstawiciela</w:t>
            </w:r>
            <w:r>
              <w:rPr>
                <w:rFonts w:ascii="Times New Roman" w:eastAsia="Times New Roman" w:hAnsi="Times New Roman" w:cs="Times New Roman"/>
                <w:bCs w:val="0"/>
                <w:szCs w:val="20"/>
              </w:rPr>
              <w:t>*</w:t>
            </w:r>
            <w:r w:rsidRPr="00CC4833">
              <w:rPr>
                <w:rFonts w:ascii="Times New Roman" w:eastAsia="Times New Roman" w:hAnsi="Times New Roman" w:cs="Times New Roman"/>
                <w:bCs w:val="0"/>
                <w:szCs w:val="20"/>
              </w:rPr>
              <w:t xml:space="preserve"> w LGD</w:t>
            </w:r>
          </w:p>
        </w:tc>
        <w:tc>
          <w:tcPr>
            <w:tcW w:w="9072" w:type="dxa"/>
            <w:tcBorders>
              <w:top w:val="single" w:sz="24" w:space="0" w:color="0000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F05" w:rsidRPr="00CC4833" w:rsidRDefault="00791F05" w:rsidP="0021407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 xml:space="preserve">Preferowane są projekty składane przez członków LGD. Jeżeli </w:t>
            </w:r>
            <w:r>
              <w:rPr>
                <w:sz w:val="18"/>
                <w:szCs w:val="20"/>
              </w:rPr>
              <w:t>wnioskodawca jest członkiem LGD. Uzasadnieniem dla tego kryterium jest chęć skupienia przez LGD najbardziej aktywnych osób i organizacji z jej terenu. Jeżeli wnioskodawca zapisał się do LGD przed rozpoczęciem danego naboru i opłacił składkę członkowską przyznaje mu się liczbę punktów jak za ponad roczne członkostwo.</w:t>
            </w:r>
            <w:r w:rsidR="00F221B8">
              <w:rPr>
                <w:sz w:val="18"/>
                <w:szCs w:val="20"/>
              </w:rPr>
              <w:t xml:space="preserve"> </w:t>
            </w:r>
            <w:r w:rsidRPr="00CC4833">
              <w:rPr>
                <w:sz w:val="18"/>
                <w:szCs w:val="20"/>
              </w:rPr>
              <w:t>Narzędziem sprawdzającym będzie lista członków LGD przygotowana przez biuro z kolumnami: imię i nazwisko, data przystąpienia do LGD, miejsce zamieszkania, opłacanie składek.</w:t>
            </w:r>
          </w:p>
        </w:tc>
      </w:tr>
      <w:tr w:rsidR="00791F05" w:rsidRPr="00CC4833" w:rsidTr="00F221B8">
        <w:trPr>
          <w:cantSplit/>
        </w:trPr>
        <w:tc>
          <w:tcPr>
            <w:tcW w:w="1526" w:type="dxa"/>
            <w:tcBorders>
              <w:top w:val="single" w:sz="24" w:space="0" w:color="0000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F05" w:rsidRPr="00791F05" w:rsidRDefault="00791F05" w:rsidP="00791F05">
            <w:pPr>
              <w:pStyle w:val="xl34"/>
              <w:rPr>
                <w:rFonts w:ascii="Times New Roman" w:eastAsia="Times New Roman" w:hAnsi="Times New Roman" w:cs="Times New Roman"/>
                <w:bCs w:val="0"/>
                <w:szCs w:val="20"/>
              </w:rPr>
            </w:pPr>
            <w:r w:rsidRPr="00791F05">
              <w:rPr>
                <w:rFonts w:ascii="Times New Roman" w:eastAsia="Times New Roman" w:hAnsi="Times New Roman" w:cs="Times New Roman"/>
                <w:bCs w:val="0"/>
                <w:szCs w:val="20"/>
              </w:rPr>
              <w:t>Doświadczenie wnioskodawcy/ jego przedstawiciela</w:t>
            </w:r>
            <w:r>
              <w:rPr>
                <w:rFonts w:ascii="Times New Roman" w:eastAsia="Times New Roman" w:hAnsi="Times New Roman" w:cs="Times New Roman"/>
                <w:bCs w:val="0"/>
                <w:szCs w:val="20"/>
              </w:rPr>
              <w:t>*</w:t>
            </w:r>
            <w:r w:rsidRPr="00791F05">
              <w:rPr>
                <w:rFonts w:ascii="Times New Roman" w:eastAsia="Times New Roman" w:hAnsi="Times New Roman" w:cs="Times New Roman"/>
                <w:bCs w:val="0"/>
                <w:szCs w:val="20"/>
              </w:rPr>
              <w:t xml:space="preserve"> w realizacji podobnych projektów</w:t>
            </w:r>
          </w:p>
        </w:tc>
        <w:tc>
          <w:tcPr>
            <w:tcW w:w="9072" w:type="dxa"/>
            <w:tcBorders>
              <w:top w:val="single" w:sz="24" w:space="0" w:color="0000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F05" w:rsidRPr="00CC4833" w:rsidRDefault="00791F05" w:rsidP="0021407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>Preferuje si</w:t>
            </w:r>
            <w:r w:rsidRPr="00791F05">
              <w:rPr>
                <w:sz w:val="18"/>
                <w:szCs w:val="20"/>
              </w:rPr>
              <w:t xml:space="preserve">ę </w:t>
            </w:r>
            <w:r w:rsidRPr="00CC4833">
              <w:rPr>
                <w:sz w:val="18"/>
                <w:szCs w:val="20"/>
              </w:rPr>
              <w:t xml:space="preserve">wnioskodawców, którzy realizowali projekty (organizowali je lub współorganizowali) ze </w:t>
            </w:r>
            <w:r w:rsidRPr="00791F05">
              <w:rPr>
                <w:sz w:val="18"/>
                <w:szCs w:val="20"/>
              </w:rPr>
              <w:t>ś</w:t>
            </w:r>
            <w:r w:rsidRPr="00CC4833">
              <w:rPr>
                <w:sz w:val="18"/>
                <w:szCs w:val="20"/>
              </w:rPr>
              <w:t>rodków UE lub krajowych</w:t>
            </w:r>
            <w:r>
              <w:rPr>
                <w:sz w:val="18"/>
                <w:szCs w:val="20"/>
              </w:rPr>
              <w:t xml:space="preserve"> np. grantowych</w:t>
            </w:r>
            <w:r w:rsidRPr="00CC4833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 </w:t>
            </w:r>
            <w:r w:rsidRPr="00CC4833">
              <w:rPr>
                <w:sz w:val="18"/>
                <w:szCs w:val="20"/>
              </w:rPr>
              <w:t>należy wymienić w  jakich projektach brali udział.</w:t>
            </w:r>
            <w:r>
              <w:rPr>
                <w:sz w:val="18"/>
                <w:szCs w:val="20"/>
              </w:rPr>
              <w:t xml:space="preserve">  </w:t>
            </w:r>
            <w:r w:rsidRPr="00CC4833">
              <w:rPr>
                <w:sz w:val="18"/>
                <w:szCs w:val="20"/>
              </w:rPr>
              <w:t xml:space="preserve">Jeżeli ustanowiono </w:t>
            </w:r>
            <w:r>
              <w:rPr>
                <w:sz w:val="18"/>
                <w:szCs w:val="20"/>
              </w:rPr>
              <w:t xml:space="preserve">przedstawiciela </w:t>
            </w:r>
            <w:r w:rsidRPr="00CC4833">
              <w:rPr>
                <w:sz w:val="18"/>
                <w:szCs w:val="20"/>
              </w:rPr>
              <w:t xml:space="preserve">we wniosku  to doświadczenie </w:t>
            </w:r>
            <w:r>
              <w:rPr>
                <w:sz w:val="18"/>
                <w:szCs w:val="20"/>
              </w:rPr>
              <w:t>przedstawiciela</w:t>
            </w:r>
            <w:r w:rsidRPr="00CC4833">
              <w:rPr>
                <w:sz w:val="18"/>
                <w:szCs w:val="20"/>
              </w:rPr>
              <w:t xml:space="preserve"> liczy się na korzyść wnioskodawcy. Jeżeli wnioskodawca nie ma doświadczenia to może mieć je ustalony koordynator – wtedy także przyznawane są punkty za doświadczenie.  </w:t>
            </w:r>
          </w:p>
          <w:p w:rsidR="00791F05" w:rsidRPr="00CC4833" w:rsidRDefault="00791F05" w:rsidP="00F221B8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>Wnioskodawca może otrzymać maksymalną liczbę punktów jeśli zrealizował 3 i więcej projektów (doświadczenie wnioskodawcy sumuje się z doświadczeniem np. koordynatora lub przedstawiciela), natomiast uzyska 0</w:t>
            </w:r>
            <w:r>
              <w:rPr>
                <w:sz w:val="18"/>
                <w:szCs w:val="20"/>
              </w:rPr>
              <w:t xml:space="preserve"> </w:t>
            </w:r>
            <w:r w:rsidRPr="00CC4833">
              <w:rPr>
                <w:sz w:val="18"/>
                <w:szCs w:val="20"/>
              </w:rPr>
              <w:t>pkt. jeśli nie zrealizował żadnego projektu.</w:t>
            </w:r>
            <w:r w:rsidR="00F221B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Wnioskodawca powinien określić doświadczenie na dodatkowym załączniku</w:t>
            </w:r>
            <w:r w:rsidR="00F221B8">
              <w:rPr>
                <w:sz w:val="18"/>
                <w:szCs w:val="20"/>
              </w:rPr>
              <w:t>.</w:t>
            </w:r>
          </w:p>
        </w:tc>
      </w:tr>
      <w:tr w:rsidR="00791F05" w:rsidRPr="00CC4833" w:rsidTr="00F221B8">
        <w:trPr>
          <w:cantSplit/>
        </w:trPr>
        <w:tc>
          <w:tcPr>
            <w:tcW w:w="10598" w:type="dxa"/>
            <w:gridSpan w:val="2"/>
            <w:tcBorders>
              <w:top w:val="single" w:sz="24" w:space="0" w:color="0000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F05" w:rsidRDefault="00F221B8" w:rsidP="00F221B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D</w:t>
            </w:r>
            <w:r w:rsidR="00791F05">
              <w:rPr>
                <w:rFonts w:ascii="Times New Roman" w:eastAsia="Times New Roman" w:hAnsi="Times New Roman" w:cs="Times New Roman"/>
                <w:bCs/>
                <w:szCs w:val="20"/>
              </w:rPr>
              <w:t>ziałanie Różnicowanie w kierunku działalności  nierolniczej</w:t>
            </w:r>
          </w:p>
        </w:tc>
      </w:tr>
      <w:tr w:rsidR="00791F05" w:rsidRPr="00CC4833" w:rsidTr="00F221B8">
        <w:trPr>
          <w:cantSplit/>
        </w:trPr>
        <w:tc>
          <w:tcPr>
            <w:tcW w:w="1526" w:type="dxa"/>
            <w:tcBorders>
              <w:top w:val="single" w:sz="24" w:space="0" w:color="0000FF"/>
            </w:tcBorders>
            <w:vAlign w:val="center"/>
          </w:tcPr>
          <w:p w:rsidR="00791F05" w:rsidRPr="00CC4833" w:rsidRDefault="00791F05" w:rsidP="00791F05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Cs w:val="20"/>
              </w:rPr>
            </w:pPr>
            <w:r w:rsidRPr="00CC4833">
              <w:rPr>
                <w:rFonts w:ascii="Times New Roman" w:eastAsia="Times New Roman" w:hAnsi="Times New Roman" w:cs="Times New Roman"/>
                <w:bCs w:val="0"/>
                <w:szCs w:val="20"/>
              </w:rPr>
              <w:t>Racjonalność wydatków  i możliwość realizacji  celów działania</w:t>
            </w:r>
            <w:r>
              <w:rPr>
                <w:rFonts w:ascii="Times New Roman" w:eastAsia="Times New Roman" w:hAnsi="Times New Roman" w:cs="Times New Roman"/>
                <w:bCs w:val="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24" w:space="0" w:color="0000FF"/>
            </w:tcBorders>
            <w:vAlign w:val="center"/>
          </w:tcPr>
          <w:p w:rsidR="00791F05" w:rsidRPr="00CC4833" w:rsidRDefault="00791F05" w:rsidP="0021407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231C8">
              <w:rPr>
                <w:b/>
                <w:sz w:val="18"/>
                <w:szCs w:val="20"/>
              </w:rPr>
              <w:t>Jest to tzw. kryterium strategiczne – służące ocenie zasadności realizacji projektu w ramach LSR</w:t>
            </w:r>
            <w:r>
              <w:rPr>
                <w:b/>
                <w:sz w:val="18"/>
                <w:szCs w:val="20"/>
              </w:rPr>
              <w:t xml:space="preserve">. Na specjalnym dodatkowym załączniku wskazanym w ogłoszeniu o naborze wnioskodawca musi  szczegółowo uzasadnić  zgodność operacji z planowanymi przedsięwzięciami w ramach LSR oraz uzasadnić że realizacja projektu przyczyni się do osiągnięcia celów Lokalnej Strategii Rozwoju  i nie będzie większych problemów z osiągnięciem celów własnych projektu, które są także zgodne z celami LSR. Najlepszą sytuacją jest gdy projekt przyczyni się do realizacji ponad jednego przedsięwzięcia wskazanego w LSR. </w:t>
            </w:r>
            <w:r>
              <w:rPr>
                <w:b/>
                <w:sz w:val="18"/>
                <w:szCs w:val="20"/>
              </w:rPr>
              <w:br/>
            </w:r>
            <w:r w:rsidRPr="00CC4833">
              <w:rPr>
                <w:sz w:val="18"/>
                <w:szCs w:val="20"/>
              </w:rPr>
              <w:t xml:space="preserve">W ocenie tego kryterium </w:t>
            </w:r>
            <w:r>
              <w:rPr>
                <w:sz w:val="18"/>
                <w:szCs w:val="20"/>
              </w:rPr>
              <w:t xml:space="preserve">ponadto </w:t>
            </w:r>
            <w:r w:rsidRPr="00CC4833">
              <w:rPr>
                <w:sz w:val="18"/>
                <w:szCs w:val="20"/>
              </w:rPr>
              <w:t>brane są pod uwagę możliwości finansowe wnioskodawcy związane z realizacją projektu, realność i prawidłowość analiz.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CC4833">
              <w:rPr>
                <w:sz w:val="18"/>
                <w:szCs w:val="20"/>
              </w:rPr>
              <w:t>Preferowane są operacje co do których nie ma wątpliwości, że zostaną one zrealizowane i zostaną osiągnięte zakładane cele projektu. Poprzez to kryterium ocenia się projekt pod kątem niezbędności każdego wydatku dla realizacji celów projektu oraz realizacji  działań.</w:t>
            </w:r>
            <w:r>
              <w:rPr>
                <w:sz w:val="18"/>
                <w:szCs w:val="20"/>
              </w:rPr>
              <w:t xml:space="preserve"> </w:t>
            </w:r>
            <w:r w:rsidRPr="00CC4833">
              <w:rPr>
                <w:sz w:val="18"/>
                <w:szCs w:val="20"/>
              </w:rPr>
              <w:t xml:space="preserve">Warunki uzyskania max liczby </w:t>
            </w:r>
            <w:proofErr w:type="spellStart"/>
            <w:r>
              <w:rPr>
                <w:sz w:val="18"/>
                <w:szCs w:val="20"/>
              </w:rPr>
              <w:t>pkt</w:t>
            </w:r>
            <w:proofErr w:type="spellEnd"/>
            <w:r>
              <w:rPr>
                <w:sz w:val="18"/>
                <w:szCs w:val="20"/>
              </w:rPr>
              <w:t>:</w:t>
            </w:r>
          </w:p>
          <w:p w:rsidR="00791F05" w:rsidRDefault="00791F05" w:rsidP="0021407B">
            <w:pPr>
              <w:rPr>
                <w:sz w:val="18"/>
              </w:rPr>
            </w:pPr>
            <w:r w:rsidRPr="00CC4833">
              <w:rPr>
                <w:b/>
                <w:bCs/>
                <w:sz w:val="18"/>
              </w:rPr>
              <w:t>1</w:t>
            </w:r>
            <w:r w:rsidRPr="00CC4833">
              <w:rPr>
                <w:sz w:val="18"/>
              </w:rPr>
              <w:t>) Zestawienie rzeczowo-finansowe jest przejrzyste, zrozumiałe i  adekwatne do opisu planowanych działań ujętych w opisie operacji w Ekonomicznym Planie Operacji. Liczba zamierzonych operacji jest wystarczająca aby zrealizować cel ale również nie jest zbyt duża w stosunku do założonego celu.</w:t>
            </w:r>
          </w:p>
          <w:p w:rsidR="00791F05" w:rsidRPr="00791F05" w:rsidRDefault="00791F05" w:rsidP="0021407B">
            <w:pPr>
              <w:rPr>
                <w:sz w:val="18"/>
              </w:rPr>
            </w:pPr>
            <w:r w:rsidRPr="0059413D">
              <w:rPr>
                <w:b/>
                <w:sz w:val="18"/>
                <w:szCs w:val="20"/>
              </w:rPr>
              <w:t>2)</w:t>
            </w:r>
            <w:r>
              <w:rPr>
                <w:sz w:val="18"/>
                <w:szCs w:val="20"/>
              </w:rPr>
              <w:t xml:space="preserve"> Wnioskodawca w dodatkowym załączniku wystarczająco/przekonująco uzasadnił że realizacja operacji przyczyni się do osiągnięcia nawet więcej niż jednego wskaźnika. </w:t>
            </w:r>
            <w:r w:rsidRPr="00CC4833">
              <w:rPr>
                <w:sz w:val="18"/>
                <w:szCs w:val="20"/>
              </w:rPr>
              <w:t>Jeśli według oceniającego wnioskodawca spełnia oba powyższe kryteria  może zostać przyznana maksymalna liczba punktów za to kryterium – 18 pkt.. Jeśli liczba planowanych działań zdecydowanie jest niewystarczająca i wskaźnik NPV jest ujemny oznacza to że wydatki zostały nieefektywnie zaplanowane i wnioskodawcy nie uda się osiągnąć planowanych celów  i otrzymuje za to kryterium 0 pkt.</w:t>
            </w:r>
          </w:p>
        </w:tc>
      </w:tr>
      <w:tr w:rsidR="00791F05" w:rsidRPr="00CC4833" w:rsidTr="00F221B8">
        <w:trPr>
          <w:cantSplit/>
        </w:trPr>
        <w:tc>
          <w:tcPr>
            <w:tcW w:w="1526" w:type="dxa"/>
            <w:tcBorders>
              <w:top w:val="single" w:sz="24" w:space="0" w:color="0000FF"/>
            </w:tcBorders>
            <w:vAlign w:val="center"/>
          </w:tcPr>
          <w:p w:rsidR="00791F05" w:rsidRPr="00CC4833" w:rsidRDefault="00791F05" w:rsidP="0021407B">
            <w:pPr>
              <w:jc w:val="center"/>
              <w:rPr>
                <w:b/>
                <w:sz w:val="18"/>
                <w:szCs w:val="20"/>
              </w:rPr>
            </w:pPr>
            <w:r w:rsidRPr="00CC4833">
              <w:rPr>
                <w:b/>
                <w:sz w:val="18"/>
                <w:szCs w:val="20"/>
              </w:rPr>
              <w:t>Innowacyjność operacji w skali regionu</w:t>
            </w:r>
          </w:p>
        </w:tc>
        <w:tc>
          <w:tcPr>
            <w:tcW w:w="9072" w:type="dxa"/>
            <w:tcBorders>
              <w:top w:val="single" w:sz="24" w:space="0" w:color="0000FF"/>
            </w:tcBorders>
            <w:vAlign w:val="center"/>
          </w:tcPr>
          <w:p w:rsidR="00791F05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 xml:space="preserve"> </w:t>
            </w:r>
            <w:r w:rsidRPr="00D231C8">
              <w:rPr>
                <w:b/>
                <w:sz w:val="18"/>
                <w:szCs w:val="20"/>
              </w:rPr>
              <w:t>Jest to tzw. kryterium strategiczne – służące ocenie zasadności realizacji projektu w ramach LSR</w:t>
            </w:r>
            <w:r>
              <w:rPr>
                <w:b/>
                <w:sz w:val="18"/>
                <w:szCs w:val="20"/>
              </w:rPr>
              <w:t>. Na specjalnym dodatkowym załączniku wskazanym w ogłoszeniu o naborze wnioskodawca musi  szczegółowo uzasadnić  na czym polega innowacyjność operacji.</w:t>
            </w:r>
            <w:r w:rsidR="00F221B8">
              <w:rPr>
                <w:sz w:val="18"/>
                <w:szCs w:val="20"/>
              </w:rPr>
              <w:t xml:space="preserve"> </w:t>
            </w:r>
            <w:r w:rsidRPr="00CC4833">
              <w:rPr>
                <w:sz w:val="18"/>
                <w:szCs w:val="20"/>
              </w:rPr>
              <w:t xml:space="preserve"> Preferowane są projekty oryginalne których spodziewane efekty nie są jeszcze obecne na danym obszarze, prezentujące niepraktykowane dotąd rozwiązania, lub ciekawy sposób wykorzystania lokalnych zasobów przy równoczesnej dbałości o zasoby naturalne środowiska. W przypadku gdy projekt jest sprzeczny z zasadami zrównoważonego rozwoju, poza zyskiem dla przedsiębiorcy nie przyczyni się do żadnych pozytywnych zmian w środowisku lokalnym – nie jest innowacyjny i otrzymuje 0 pkt. </w:t>
            </w:r>
          </w:p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>Jeśli jest innowacyjny w skali jednej miejscowości – może mieć zastosowanie tylko w tej jednej miejscowości - przyznaje mu się 5 pkt. Jeżeli jest innowacyjny w skali gminy lub więcej niż jednej miejscowości – 10 pkt., jest innowacyjny w skali powiatu –  jest uniwersalnym projektem i będzie realizowany na obszarze wykraczającym poza teren  jednej gminy oraz zaplanowane zostały akcje promocyjne – otrzymuje 15 pkt.</w:t>
            </w:r>
          </w:p>
        </w:tc>
      </w:tr>
      <w:tr w:rsidR="00F221B8" w:rsidRPr="00CC4833" w:rsidTr="00F221B8">
        <w:trPr>
          <w:cantSplit/>
        </w:trPr>
        <w:tc>
          <w:tcPr>
            <w:tcW w:w="1526" w:type="dxa"/>
            <w:tcBorders>
              <w:top w:val="single" w:sz="24" w:space="0" w:color="0000FF"/>
            </w:tcBorders>
            <w:vAlign w:val="center"/>
          </w:tcPr>
          <w:p w:rsidR="00F221B8" w:rsidRPr="00CC4833" w:rsidRDefault="00F221B8" w:rsidP="0021407B">
            <w:pPr>
              <w:jc w:val="center"/>
              <w:rPr>
                <w:b/>
                <w:sz w:val="18"/>
                <w:szCs w:val="20"/>
              </w:rPr>
            </w:pPr>
            <w:r w:rsidRPr="00CC4833">
              <w:rPr>
                <w:b/>
                <w:sz w:val="18"/>
                <w:szCs w:val="20"/>
              </w:rPr>
              <w:t>Powierzchnia gospodarstwa, które posiada lub w którym pracuje wnioskodawca</w:t>
            </w:r>
          </w:p>
        </w:tc>
        <w:tc>
          <w:tcPr>
            <w:tcW w:w="9072" w:type="dxa"/>
            <w:tcBorders>
              <w:top w:val="single" w:sz="24" w:space="0" w:color="0000FF"/>
            </w:tcBorders>
            <w:vAlign w:val="center"/>
          </w:tcPr>
          <w:p w:rsidR="00F221B8" w:rsidRPr="00CC4833" w:rsidRDefault="00F221B8" w:rsidP="0021407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>Przez powierzchnię gospodarstwa rozumie się powierzchnię z nakazu płatniczego gospodarstwa rolnego które posiada wnioskodawca, lub w której pracuje będąc małżonkiem rolnika lub jego domownikiem.</w:t>
            </w:r>
          </w:p>
          <w:p w:rsidR="00F221B8" w:rsidRPr="00CC4833" w:rsidRDefault="00F221B8" w:rsidP="0021407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 xml:space="preserve">               Preferuje się aby wsparciem zostały objęte w pierwszej kolejności gospodarstwa, których powierzchnia w ha jest niższa niż średnia powierzchnia gospodarstwa w województwie małopolskim – 2,1 ha. Takie wnioski otrzymują za kryterium powierzchni 18 pkt.</w:t>
            </w:r>
          </w:p>
          <w:p w:rsidR="00F221B8" w:rsidRPr="00CC4833" w:rsidRDefault="00F221B8" w:rsidP="0021407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>Jeśli powierzchnia gospodarstwa jest większa lub równa 2,1 ha i mniejsza lub równa 2,5 ha, przyznaje się wnioskodawcy 12 pkt. Jeśli powierzchnia gospodarstwa jest większa niż 2,5 ha przyznaje się wnioskodawcy 6 pkt.</w:t>
            </w:r>
          </w:p>
        </w:tc>
      </w:tr>
      <w:tr w:rsidR="00791F05" w:rsidRPr="00CC4833" w:rsidTr="00F221B8">
        <w:trPr>
          <w:cantSplit/>
        </w:trPr>
        <w:tc>
          <w:tcPr>
            <w:tcW w:w="1526" w:type="dxa"/>
            <w:vAlign w:val="center"/>
          </w:tcPr>
          <w:p w:rsidR="00791F05" w:rsidRPr="00CC4833" w:rsidRDefault="00791F05" w:rsidP="0021407B">
            <w:pPr>
              <w:jc w:val="center"/>
              <w:rPr>
                <w:b/>
                <w:sz w:val="18"/>
                <w:szCs w:val="20"/>
              </w:rPr>
            </w:pPr>
            <w:r w:rsidRPr="00CC4833">
              <w:rPr>
                <w:b/>
                <w:sz w:val="18"/>
                <w:szCs w:val="20"/>
              </w:rPr>
              <w:t>Wzrost zatrudnienia</w:t>
            </w:r>
          </w:p>
        </w:tc>
        <w:tc>
          <w:tcPr>
            <w:tcW w:w="9072" w:type="dxa"/>
            <w:vAlign w:val="center"/>
          </w:tcPr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 xml:space="preserve"> Preferowane są projekty zakładające tworzenie nowych miejsc pracy.  </w:t>
            </w:r>
          </w:p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>Projekt otrzymuje 18 pkt. jeśli dzięki jego realizacji zostaną utworzone 3 lub więcej miejsc pracy. W przypadku planowania utworzenia 2 miejsc pracy projekt otrzymuje za to kryterium 12 pkt. Jeżeli zakłada utworzenie 1 miejsca pracy otrzymuje 6 pkt.</w:t>
            </w:r>
          </w:p>
        </w:tc>
      </w:tr>
    </w:tbl>
    <w:p w:rsidR="00791F05" w:rsidRDefault="00791F05"/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384"/>
        <w:gridCol w:w="9072"/>
      </w:tblGrid>
      <w:tr w:rsidR="00791F05" w:rsidRPr="00CC4833" w:rsidTr="00F221B8">
        <w:trPr>
          <w:cantSplit/>
        </w:trPr>
        <w:tc>
          <w:tcPr>
            <w:tcW w:w="10456" w:type="dxa"/>
            <w:gridSpan w:val="2"/>
            <w:tcBorders>
              <w:top w:val="single" w:sz="24" w:space="0" w:color="0000FF"/>
            </w:tcBorders>
            <w:vAlign w:val="center"/>
          </w:tcPr>
          <w:p w:rsidR="00791F05" w:rsidRPr="00F221B8" w:rsidRDefault="00791F05" w:rsidP="00791F05">
            <w:pPr>
              <w:jc w:val="center"/>
            </w:pPr>
            <w:r w:rsidRPr="00F221B8">
              <w:lastRenderedPageBreak/>
              <w:t xml:space="preserve">Działanie „Tworzenie i rozwój </w:t>
            </w:r>
            <w:proofErr w:type="spellStart"/>
            <w:r w:rsidRPr="00F221B8">
              <w:t>mikroprzedsiębiorstw</w:t>
            </w:r>
            <w:proofErr w:type="spellEnd"/>
            <w:r w:rsidRPr="00F221B8">
              <w:t>”</w:t>
            </w:r>
          </w:p>
        </w:tc>
      </w:tr>
      <w:tr w:rsidR="00791F05" w:rsidRPr="00CC4833" w:rsidTr="00F221B8">
        <w:trPr>
          <w:cantSplit/>
        </w:trPr>
        <w:tc>
          <w:tcPr>
            <w:tcW w:w="1384" w:type="dxa"/>
            <w:tcBorders>
              <w:top w:val="single" w:sz="24" w:space="0" w:color="0000FF"/>
            </w:tcBorders>
            <w:vAlign w:val="center"/>
          </w:tcPr>
          <w:p w:rsidR="00791F05" w:rsidRPr="00CC4833" w:rsidRDefault="00791F05" w:rsidP="0021407B">
            <w:pPr>
              <w:pStyle w:val="xl3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Cs w:val="20"/>
              </w:rPr>
            </w:pPr>
            <w:r w:rsidRPr="00CC4833">
              <w:rPr>
                <w:rFonts w:ascii="Times New Roman" w:eastAsia="Times New Roman" w:hAnsi="Times New Roman" w:cs="Times New Roman"/>
                <w:bCs w:val="0"/>
                <w:szCs w:val="20"/>
              </w:rPr>
              <w:t>Racjonalność wydatków  i możliwość realizacji  celów działania</w:t>
            </w:r>
          </w:p>
        </w:tc>
        <w:tc>
          <w:tcPr>
            <w:tcW w:w="9072" w:type="dxa"/>
            <w:tcBorders>
              <w:top w:val="single" w:sz="24" w:space="0" w:color="0000FF"/>
            </w:tcBorders>
            <w:vAlign w:val="center"/>
          </w:tcPr>
          <w:p w:rsidR="00791F05" w:rsidRDefault="00791F05" w:rsidP="0021407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231C8">
              <w:rPr>
                <w:b/>
                <w:sz w:val="18"/>
                <w:szCs w:val="20"/>
              </w:rPr>
              <w:t>Jest to tzw. kryterium strategiczne – służące ocenie zasadności realizacji projektu w ramach LSR</w:t>
            </w:r>
            <w:r>
              <w:rPr>
                <w:b/>
                <w:sz w:val="18"/>
                <w:szCs w:val="20"/>
              </w:rPr>
              <w:t xml:space="preserve">. Na specjalnym dodatkowym załączniku wskazanym w ogłoszeniu o naborze wnioskodawca musi  szczegółowo uzasadnić  zgodność operacji z planowanymi przedsięwzięciami w ramach LSR oraz uzasadnić że realizacja projektu przyczyni się do osiągnięcia celów Lokalnej Strategii Rozwoju  i nie będzie większych problemów z osiągnięciem celów własnych projektu, które są także zgodne z celami LSR. Najlepszą sytuacją jest gdy projekt przyczyni się do realizacji ponad jednego przedsięwzięcia wskazanego w LSR. </w:t>
            </w:r>
            <w:r w:rsidRPr="00CC4833">
              <w:rPr>
                <w:sz w:val="18"/>
                <w:szCs w:val="20"/>
              </w:rPr>
              <w:t xml:space="preserve">              </w:t>
            </w:r>
          </w:p>
          <w:p w:rsidR="00791F05" w:rsidRPr="00CC4833" w:rsidRDefault="00791F05" w:rsidP="0021407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>W ocenie tego kryterium brane są pod uwagę możliwości finansowe wnioskodawcy związane z realizacją projektu, realność i prawidłowość przygotowanych analiz</w:t>
            </w:r>
          </w:p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>Preferowane są operacje co do których nie ma wątpliwości, że zostaną one zrealizowane i zostaną osiągnięte zakładane cele projektu.</w:t>
            </w:r>
            <w:r>
              <w:rPr>
                <w:sz w:val="18"/>
                <w:szCs w:val="20"/>
              </w:rPr>
              <w:t xml:space="preserve">  </w:t>
            </w:r>
            <w:r w:rsidRPr="00CC4833">
              <w:rPr>
                <w:sz w:val="18"/>
                <w:szCs w:val="20"/>
              </w:rPr>
              <w:t>Poprzez to kryterium ocenia się projekt pod kątem niezbędności każdego wydatku dla realizacji celów projektu oraz realizacji  działań.</w:t>
            </w:r>
            <w:r w:rsidRPr="00CC4833">
              <w:rPr>
                <w:sz w:val="18"/>
                <w:szCs w:val="20"/>
              </w:rPr>
              <w:br/>
              <w:t>Warunki uzyskania max liczby punktów:</w:t>
            </w:r>
          </w:p>
          <w:p w:rsidR="00791F05" w:rsidRPr="00CC4833" w:rsidRDefault="00791F05" w:rsidP="0021407B">
            <w:pPr>
              <w:rPr>
                <w:sz w:val="18"/>
              </w:rPr>
            </w:pPr>
            <w:r w:rsidRPr="00CC4833">
              <w:rPr>
                <w:b/>
                <w:bCs/>
                <w:sz w:val="18"/>
              </w:rPr>
              <w:t>1</w:t>
            </w:r>
            <w:r w:rsidRPr="00CC4833">
              <w:rPr>
                <w:sz w:val="18"/>
              </w:rPr>
              <w:t xml:space="preserve">) Zestawienie rzeczowo-finansowe jest przejrzyste, zrozumiałe i  adekwatne do opisu planowanych działań ujętych w opisie operacji w Ekonomicznym Planie Operacji. Liczba zamierzonych operacji jest wystarczająca aby zrealizować cel ale również nie jest zbyt duża w stosunku do założonego celu. </w:t>
            </w:r>
          </w:p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b/>
                <w:bCs/>
                <w:sz w:val="18"/>
                <w:szCs w:val="20"/>
              </w:rPr>
              <w:t>2</w:t>
            </w:r>
            <w:r w:rsidRPr="00CC4833">
              <w:rPr>
                <w:sz w:val="18"/>
                <w:szCs w:val="20"/>
              </w:rPr>
              <w:t xml:space="preserve">) </w:t>
            </w:r>
            <w:r>
              <w:rPr>
                <w:sz w:val="18"/>
                <w:szCs w:val="20"/>
              </w:rPr>
              <w:t>Wnioskodawca w dodatkowym załączniku wystarczająco/przekonująco uzasadnił że realizacja operacji przyczyni się do osiągnięcia nawet więcej niż jednego wskaźnika.</w:t>
            </w:r>
          </w:p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 xml:space="preserve"> Jeśli według oceniającego wnioskodawca spełnia oba powyższe kryteria  może zostać przyznana maksymalna liczba punktów za to kryterium – 18 pkt.. Jeśli liczba planowanych działań zdecydowanie jest niewystarczająca i wskaźnik NPV jest ujemny oznacza to że wydatki zostały nieefektywnie zaplanowane i wnioskodawcy nie uda się osiągnąć planowanych celów  i otrzymuje za to kryterium 0 pkt.</w:t>
            </w:r>
          </w:p>
        </w:tc>
      </w:tr>
      <w:tr w:rsidR="00791F05" w:rsidRPr="00CC4833" w:rsidTr="00F221B8">
        <w:trPr>
          <w:cantSplit/>
        </w:trPr>
        <w:tc>
          <w:tcPr>
            <w:tcW w:w="1384" w:type="dxa"/>
            <w:vAlign w:val="center"/>
          </w:tcPr>
          <w:p w:rsidR="00791F05" w:rsidRPr="00CC4833" w:rsidRDefault="00791F05" w:rsidP="0021407B">
            <w:pPr>
              <w:jc w:val="center"/>
              <w:rPr>
                <w:b/>
                <w:sz w:val="18"/>
                <w:szCs w:val="20"/>
              </w:rPr>
            </w:pPr>
            <w:r w:rsidRPr="00CC4833">
              <w:rPr>
                <w:b/>
                <w:sz w:val="18"/>
                <w:szCs w:val="20"/>
              </w:rPr>
              <w:t>Uzasadnienie potrzeby realizacji projektu</w:t>
            </w:r>
          </w:p>
        </w:tc>
        <w:tc>
          <w:tcPr>
            <w:tcW w:w="9072" w:type="dxa"/>
            <w:vAlign w:val="center"/>
          </w:tcPr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 xml:space="preserve">Preferowane są projekty co do których nie ma wątpliwości o konieczności ich realizacji. </w:t>
            </w:r>
          </w:p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>Uzasadnienie potrzeby realizacji projektu powinno znaleźć się w Ekonomicznym Planie Operacji w odpowiednich rubrykach dotyczących opisu operacji, uwarunkowań realizacji operacji, stopnia w jakim wdrażany produkt/ usługa jest nowością na rynku lokalnym oraz wpływu poszczególnych elementów zakresu rzeczowego na poziom sprzedaży, zatrudnienia i cele.</w:t>
            </w:r>
          </w:p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>Jeśli zdaniem oceniającego opisy powyższych elementów wyczerpująco uzasadniają potrzebę  realizacji projektu wówczas przyznana zostaje maksymalna liczba punktów za to kryterium – 10 pkt.  Jeżeli uzasadnienie nie jest wystarczające lub wnioskodawca nie próbuje uzasadnić potrzeby realizacji projektu należy przyznać 0pkt.</w:t>
            </w:r>
          </w:p>
        </w:tc>
      </w:tr>
      <w:tr w:rsidR="00791F05" w:rsidRPr="00CC4833" w:rsidTr="00F221B8">
        <w:trPr>
          <w:cantSplit/>
        </w:trPr>
        <w:tc>
          <w:tcPr>
            <w:tcW w:w="1384" w:type="dxa"/>
            <w:vAlign w:val="center"/>
          </w:tcPr>
          <w:p w:rsidR="00791F05" w:rsidRPr="00CC4833" w:rsidRDefault="00791F05" w:rsidP="0021407B">
            <w:pPr>
              <w:jc w:val="center"/>
              <w:rPr>
                <w:b/>
                <w:sz w:val="18"/>
                <w:szCs w:val="20"/>
              </w:rPr>
            </w:pPr>
            <w:r w:rsidRPr="00CC4833">
              <w:rPr>
                <w:b/>
                <w:sz w:val="18"/>
                <w:szCs w:val="20"/>
              </w:rPr>
              <w:t>Wykorzystanie zasobów lokalnych, dziedzictwa kulturowego, historycznego lub przyrodniczego</w:t>
            </w:r>
          </w:p>
        </w:tc>
        <w:tc>
          <w:tcPr>
            <w:tcW w:w="9072" w:type="dxa"/>
            <w:vAlign w:val="center"/>
          </w:tcPr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 xml:space="preserve">Preferowane są projekty wykorzystujące lokalnie wytworzone produkty, lokalnie świadczone usługi, tworzące miejsca pracy dla lokalnej ludności, promujące lokalne walory i dziedzictwo historyczno-kulturowe obszaru. </w:t>
            </w:r>
            <w:r>
              <w:rPr>
                <w:sz w:val="18"/>
                <w:szCs w:val="20"/>
              </w:rPr>
              <w:t xml:space="preserve">Projekt powinien zaangażować w zależności od jego charakteru w jak największym stopniu lokalne zasoby lub jego realizacja powinna się przyczynić do późniejszego wzrostu możliwości wykorzystania tych zasobów – np. budowa chodnika przed </w:t>
            </w:r>
            <w:proofErr w:type="spellStart"/>
            <w:r>
              <w:rPr>
                <w:sz w:val="18"/>
                <w:szCs w:val="20"/>
              </w:rPr>
              <w:t>GOK-iem</w:t>
            </w:r>
            <w:proofErr w:type="spellEnd"/>
            <w:r>
              <w:rPr>
                <w:sz w:val="18"/>
                <w:szCs w:val="20"/>
              </w:rPr>
              <w:t xml:space="preserve"> będzie sprzyjać kulturalnym imprezom lokalnym, spotkaniom mieszkańców.</w:t>
            </w:r>
          </w:p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>Wnioskodawca powinien opisać we wniosku lub w miejscach przeznaczonych na dodatkowe uwagi  w jakim stopniu w realizację planowanej operacji będą zaangażowane lokalne zasoby. Przykładowo jeżeli planuje  rozpoczęcie działalności w zakresie Rzemiosła lub rękodzielnictwa powinien zaznaczyć w celach operacji wykorzystanie lokalnych zasobów, kultywowanie lokalnych tradycji z zakresu tradycyjnych rzemiosł.</w:t>
            </w:r>
          </w:p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>Jeśli planowana operacja w całości opierać się będzie na lokalnych zasobach i (zasoby ludzkie, zasoby naturalne-przyrodnicze i lokalna tradycja) należy przyznać wnioskodawcy 18 pkt. 6 pkt. przyznaje się gdy  operacja uwzględnia zaangażowanie tylko jednego z lokalnych zasobów (ludzie - kapitał lub tradycja lub przyroda).</w:t>
            </w:r>
          </w:p>
        </w:tc>
      </w:tr>
      <w:tr w:rsidR="00791F05" w:rsidRPr="00CC4833" w:rsidTr="00F221B8">
        <w:trPr>
          <w:cantSplit/>
        </w:trPr>
        <w:tc>
          <w:tcPr>
            <w:tcW w:w="1384" w:type="dxa"/>
            <w:vAlign w:val="center"/>
          </w:tcPr>
          <w:p w:rsidR="00791F05" w:rsidRPr="00CC4833" w:rsidRDefault="00791F05" w:rsidP="0021407B">
            <w:pPr>
              <w:jc w:val="center"/>
              <w:rPr>
                <w:b/>
                <w:sz w:val="18"/>
                <w:szCs w:val="20"/>
              </w:rPr>
            </w:pPr>
            <w:r w:rsidRPr="00CC4833">
              <w:rPr>
                <w:b/>
                <w:sz w:val="18"/>
                <w:szCs w:val="20"/>
              </w:rPr>
              <w:t>Wzrost zatrudnienia</w:t>
            </w:r>
          </w:p>
        </w:tc>
        <w:tc>
          <w:tcPr>
            <w:tcW w:w="9072" w:type="dxa"/>
            <w:vAlign w:val="center"/>
          </w:tcPr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 xml:space="preserve">            Preferowane są projekty zakładające tworzenie nowych miejsc pracy.  Projekt otrzymuje 18 pkt. jeśli dzięki jego realizacji zostaną utworzone 3 lub więcej miejsc pracy, w przypadku utworzenia 2 miejsc pracy pro</w:t>
            </w:r>
            <w:r w:rsidR="00F221B8">
              <w:rPr>
                <w:sz w:val="18"/>
                <w:szCs w:val="20"/>
              </w:rPr>
              <w:t xml:space="preserve">jekt otrzymuje za to kryterium </w:t>
            </w:r>
            <w:r w:rsidRPr="00CC4833">
              <w:rPr>
                <w:sz w:val="18"/>
                <w:szCs w:val="20"/>
              </w:rPr>
              <w:t>12 pkt. Jeżeli zakłada utworzenie 1 miejsca pracy otrzymuje 6 pkt.</w:t>
            </w:r>
          </w:p>
        </w:tc>
      </w:tr>
      <w:tr w:rsidR="00791F05" w:rsidRPr="00CC4833" w:rsidTr="00F221B8">
        <w:trPr>
          <w:cantSplit/>
        </w:trPr>
        <w:tc>
          <w:tcPr>
            <w:tcW w:w="1384" w:type="dxa"/>
            <w:vAlign w:val="center"/>
          </w:tcPr>
          <w:p w:rsidR="00791F05" w:rsidRPr="00CC4833" w:rsidRDefault="00791F05" w:rsidP="0021407B">
            <w:pPr>
              <w:jc w:val="center"/>
              <w:rPr>
                <w:b/>
                <w:sz w:val="18"/>
                <w:szCs w:val="20"/>
              </w:rPr>
            </w:pPr>
            <w:r w:rsidRPr="00CC4833">
              <w:rPr>
                <w:b/>
                <w:sz w:val="18"/>
                <w:szCs w:val="20"/>
              </w:rPr>
              <w:t>Innowacyjność operacji w skali regionu</w:t>
            </w:r>
          </w:p>
        </w:tc>
        <w:tc>
          <w:tcPr>
            <w:tcW w:w="9072" w:type="dxa"/>
            <w:vAlign w:val="center"/>
          </w:tcPr>
          <w:p w:rsidR="00791F05" w:rsidRDefault="00791F05" w:rsidP="0021407B">
            <w:pPr>
              <w:rPr>
                <w:sz w:val="18"/>
                <w:szCs w:val="20"/>
              </w:rPr>
            </w:pPr>
            <w:r w:rsidRPr="00D231C8">
              <w:rPr>
                <w:b/>
                <w:sz w:val="18"/>
                <w:szCs w:val="20"/>
              </w:rPr>
              <w:t>Jest to tzw. kryterium strategiczne – służące ocenie zasadności realizacji projektu w ramach LSR</w:t>
            </w:r>
            <w:r>
              <w:rPr>
                <w:b/>
                <w:sz w:val="18"/>
                <w:szCs w:val="20"/>
              </w:rPr>
              <w:t>. Na specjalnym dodatkowym załączniku wskazanym w ogłoszeniu o naborze wnioskodawca musi  szczegółowo uzasadnić  na czym polega innowacyjność operacji.</w:t>
            </w:r>
            <w:r w:rsidRPr="00CC4833">
              <w:rPr>
                <w:sz w:val="18"/>
                <w:szCs w:val="20"/>
              </w:rPr>
              <w:t xml:space="preserve">           </w:t>
            </w:r>
          </w:p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 xml:space="preserve"> Preferowane są projekty oryginalne których spodziewane efekty nie są jeszcze obecne na danym obszarze, prezentujące niepraktykowane dotąd rozwiązania, lub ciekawy sposób wykorzystania lokalnych zasobów przy równoczesnej dbałości o zasoby naturalne środowiska. </w:t>
            </w:r>
          </w:p>
          <w:p w:rsidR="00791F05" w:rsidRPr="00CC4833" w:rsidRDefault="00791F05" w:rsidP="0021407B">
            <w:pPr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 xml:space="preserve">             W przypadku gdy projekt jest sprzeczny z zasadami zrównoważonego rozwoju, poza zyskiem dla przedsiębiorcy nie przyczyni się do żadnych pozytywnych zmian w środowisku lokalnym – nie jest innowacyjny i otrzymuje 0 pkt. </w:t>
            </w:r>
          </w:p>
          <w:p w:rsidR="00791F05" w:rsidRPr="00CC4833" w:rsidRDefault="00791F05" w:rsidP="0021407B">
            <w:pPr>
              <w:jc w:val="both"/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 xml:space="preserve">Jeśli jest innowacyjny w skali jednej miejscowości – może mieć zastosowanie tylko w tej jednej miejscowości - przyznaje mu się 5 pkt. Jeżeli jest innowacyjny w skali gminy lub więcej niż jednej miejscowości – 10 pkt.. </w:t>
            </w:r>
          </w:p>
          <w:p w:rsidR="00791F05" w:rsidRPr="00CC4833" w:rsidRDefault="00791F05" w:rsidP="0021407B">
            <w:pPr>
              <w:jc w:val="both"/>
              <w:rPr>
                <w:sz w:val="18"/>
                <w:szCs w:val="20"/>
              </w:rPr>
            </w:pPr>
            <w:r w:rsidRPr="00CC4833">
              <w:rPr>
                <w:sz w:val="18"/>
                <w:szCs w:val="20"/>
              </w:rPr>
              <w:t xml:space="preserve">              Kiedy jest innowacyjny w skali powiatu –  jest uniwersalnym projektem i będzie realizowany na obszarze wykraczającym poza teren  jednej gminy, wprowadza nowy produkt który może być szeroko promowany oraz zaplanowane zostały akcje promocyjne – otrzymuje 15 pkt.</w:t>
            </w:r>
          </w:p>
        </w:tc>
      </w:tr>
    </w:tbl>
    <w:p w:rsidR="00F221B8" w:rsidRPr="00F221B8" w:rsidRDefault="00F221B8" w:rsidP="00F221B8">
      <w:pPr>
        <w:autoSpaceDE w:val="0"/>
        <w:spacing w:after="70"/>
        <w:jc w:val="both"/>
        <w:rPr>
          <w:rFonts w:ascii="Arial" w:hAnsi="Arial" w:cs="Arial"/>
          <w:bCs/>
          <w:sz w:val="20"/>
          <w:szCs w:val="20"/>
        </w:rPr>
      </w:pPr>
      <w:r w:rsidRPr="00F221B8">
        <w:rPr>
          <w:sz w:val="28"/>
          <w:szCs w:val="28"/>
        </w:rPr>
        <w:lastRenderedPageBreak/>
        <w:t>*</w:t>
      </w:r>
      <w:r w:rsidRPr="00F221B8">
        <w:rPr>
          <w:rFonts w:ascii="Arial" w:hAnsi="Arial" w:cs="Arial"/>
          <w:bCs/>
          <w:sz w:val="18"/>
          <w:szCs w:val="18"/>
        </w:rPr>
        <w:t xml:space="preserve"> </w:t>
      </w:r>
      <w:r w:rsidRPr="00F221B8">
        <w:rPr>
          <w:rFonts w:ascii="Arial" w:hAnsi="Arial" w:cs="Arial"/>
          <w:bCs/>
          <w:sz w:val="20"/>
          <w:szCs w:val="20"/>
        </w:rPr>
        <w:t>Przedstawiciel musi być ściśle powiązany z wnioskodawcą. przedstawicielem osoby fizycznej może być inna osoba spokrewniona  z wnioskodawcą w 1-stopniu pokrewieństwa (rodzice, dzieci, rodzeństwo) lub zamieszkująca w tym samym gospodarstwie domowym – to należy rozumieć jako ścisłe powiązanie z wnioskodawcą</w:t>
      </w:r>
    </w:p>
    <w:p w:rsidR="00F221B8" w:rsidRPr="00F221B8" w:rsidRDefault="00F221B8" w:rsidP="00F221B8">
      <w:pPr>
        <w:autoSpaceDE w:val="0"/>
        <w:spacing w:after="70"/>
        <w:jc w:val="both"/>
        <w:rPr>
          <w:rFonts w:ascii="Arial" w:hAnsi="Arial" w:cs="Arial"/>
          <w:bCs/>
          <w:sz w:val="20"/>
          <w:szCs w:val="20"/>
        </w:rPr>
      </w:pPr>
      <w:r w:rsidRPr="00F221B8">
        <w:rPr>
          <w:rFonts w:ascii="Arial" w:hAnsi="Arial" w:cs="Arial"/>
          <w:bCs/>
          <w:sz w:val="20"/>
          <w:szCs w:val="20"/>
        </w:rPr>
        <w:t>- jeden przedstawiciel może reprezentować kilku wnioskodawców jeśli np. jest ściśle związany z wnioskodawcami, których ma reprezentować</w:t>
      </w:r>
    </w:p>
    <w:p w:rsidR="00F221B8" w:rsidRPr="00F221B8" w:rsidRDefault="00F221B8" w:rsidP="00F221B8">
      <w:pPr>
        <w:autoSpaceDE w:val="0"/>
        <w:spacing w:after="70"/>
        <w:jc w:val="both"/>
        <w:rPr>
          <w:rFonts w:ascii="Arial" w:hAnsi="Arial" w:cs="Arial"/>
          <w:bCs/>
          <w:sz w:val="20"/>
          <w:szCs w:val="20"/>
        </w:rPr>
      </w:pPr>
      <w:r w:rsidRPr="00F221B8">
        <w:rPr>
          <w:rFonts w:ascii="Arial" w:hAnsi="Arial" w:cs="Arial"/>
          <w:bCs/>
          <w:sz w:val="20"/>
          <w:szCs w:val="20"/>
        </w:rPr>
        <w:t xml:space="preserve">- W zakresie działań „Tworzenie i rozwój </w:t>
      </w:r>
      <w:proofErr w:type="spellStart"/>
      <w:r w:rsidRPr="00F221B8">
        <w:rPr>
          <w:rFonts w:ascii="Arial" w:hAnsi="Arial" w:cs="Arial"/>
          <w:bCs/>
          <w:sz w:val="20"/>
          <w:szCs w:val="20"/>
        </w:rPr>
        <w:t>mikroprzedsiębiorstw</w:t>
      </w:r>
      <w:proofErr w:type="spellEnd"/>
      <w:r w:rsidRPr="00F221B8">
        <w:rPr>
          <w:rFonts w:ascii="Arial" w:hAnsi="Arial" w:cs="Arial"/>
          <w:bCs/>
          <w:sz w:val="20"/>
          <w:szCs w:val="20"/>
        </w:rPr>
        <w:t>” oraz „Różnicowanie w kierunku działalności nierolniczej” jeden przedstawiciel może reprezentować wnioskodawców w dowolnej liczbie wniosków lecz do kwoty nie przekraczającej 100 tysięcy złotych wnioskowanej kwoty pomocy.</w:t>
      </w:r>
    </w:p>
    <w:p w:rsidR="00F221B8" w:rsidRDefault="00F221B8" w:rsidP="00F221B8">
      <w:pPr>
        <w:autoSpaceDE w:val="0"/>
        <w:spacing w:after="70"/>
        <w:jc w:val="both"/>
        <w:rPr>
          <w:rFonts w:ascii="Arial" w:hAnsi="Arial" w:cs="Arial"/>
          <w:bCs/>
          <w:sz w:val="18"/>
          <w:szCs w:val="18"/>
        </w:rPr>
      </w:pPr>
    </w:p>
    <w:p w:rsidR="00F221B8" w:rsidRPr="00141624" w:rsidRDefault="00F221B8" w:rsidP="00F221B8">
      <w:pPr>
        <w:autoSpaceDE w:val="0"/>
        <w:spacing w:after="70"/>
        <w:jc w:val="both"/>
        <w:rPr>
          <w:rFonts w:ascii="Arial" w:hAnsi="Arial" w:cs="Arial"/>
          <w:b/>
          <w:bCs/>
          <w:sz w:val="18"/>
          <w:szCs w:val="18"/>
        </w:rPr>
      </w:pPr>
      <w:r w:rsidRPr="00141624">
        <w:rPr>
          <w:rFonts w:ascii="Arial" w:hAnsi="Arial" w:cs="Arial"/>
          <w:b/>
          <w:bCs/>
          <w:sz w:val="18"/>
          <w:szCs w:val="18"/>
        </w:rPr>
        <w:t>Wnioskodawca powinien uzasadnić we własnym zakresie zgodność operacji z lokalnymi kryteriami wyboru – w odpowiednich miejscach we wniosku lub jeżeli nie ma na to miejsca we wniosku to za pomocą dodatkowych załączników dla LGD</w:t>
      </w:r>
      <w:r>
        <w:rPr>
          <w:rFonts w:ascii="Arial" w:hAnsi="Arial" w:cs="Arial"/>
          <w:b/>
          <w:bCs/>
          <w:sz w:val="18"/>
          <w:szCs w:val="18"/>
        </w:rPr>
        <w:t xml:space="preserve">  jak  oświadczenia, uzasadnienie zgodności z lokalnymi kryteriami wyboru.</w:t>
      </w:r>
    </w:p>
    <w:p w:rsidR="00F221B8" w:rsidRDefault="00F221B8" w:rsidP="00F221B8">
      <w:pPr>
        <w:rPr>
          <w:sz w:val="28"/>
          <w:szCs w:val="28"/>
        </w:rPr>
      </w:pPr>
    </w:p>
    <w:p w:rsidR="00F221B8" w:rsidRPr="00E5339A" w:rsidRDefault="00F221B8" w:rsidP="00F221B8">
      <w:pPr>
        <w:autoSpaceDE w:val="0"/>
        <w:spacing w:after="70"/>
        <w:jc w:val="center"/>
        <w:rPr>
          <w:b/>
          <w:color w:val="FF0000"/>
        </w:rPr>
      </w:pPr>
      <w:r w:rsidRPr="00E5339A">
        <w:rPr>
          <w:b/>
          <w:color w:val="FF0000"/>
        </w:rPr>
        <w:t>Każdy złożony wniosek aby mógł zostać wybrany do finansowania w ramach LSR musi być zgodny z LSR oraz musi uzyskać minimum 50% maksymalnej liczby punktów w ramach oceny zgodności z lokalnymi kryteriami wyboru.</w:t>
      </w:r>
    </w:p>
    <w:p w:rsidR="00F221B8" w:rsidRPr="00F221B8" w:rsidRDefault="00F221B8" w:rsidP="00F221B8">
      <w:pPr>
        <w:rPr>
          <w:sz w:val="28"/>
          <w:szCs w:val="28"/>
        </w:rPr>
      </w:pPr>
    </w:p>
    <w:sectPr w:rsidR="00F221B8" w:rsidRPr="00F221B8" w:rsidSect="00F221B8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02A"/>
    <w:multiLevelType w:val="hybridMultilevel"/>
    <w:tmpl w:val="841ED676"/>
    <w:lvl w:ilvl="0" w:tplc="8174E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178D"/>
    <w:multiLevelType w:val="hybridMultilevel"/>
    <w:tmpl w:val="6A26BBAA"/>
    <w:lvl w:ilvl="0" w:tplc="73586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1F05"/>
    <w:rsid w:val="00412BE4"/>
    <w:rsid w:val="004F3354"/>
    <w:rsid w:val="00791F05"/>
    <w:rsid w:val="00F2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4">
    <w:name w:val="xl34"/>
    <w:basedOn w:val="Normalny"/>
    <w:rsid w:val="00791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F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1F0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1F05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41">
    <w:name w:val="xl41"/>
    <w:basedOn w:val="Normalny"/>
    <w:rsid w:val="00791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2011-07-20T17:26:00Z</dcterms:created>
  <dcterms:modified xsi:type="dcterms:W3CDTF">2011-07-20T17:42:00Z</dcterms:modified>
</cp:coreProperties>
</file>